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283</w:t>
      </w:r>
    </w:p>
    <w:p>
      <w:r>
        <w:t>Bundesgericht (BGE), 1969-05-23, DE</w:t>
      </w:r>
    </w:p>
    <w:p>
      <w:r>
        <w:rPr>
          <w:b/>
        </w:rPr>
        <w:t xml:space="preserve">Quelle: </w:t>
      </w:r>
      <w:r>
        <w:t>https://mcp.opencaselaw.ch/entscheid/bge_95 I 283</w:t>
      </w:r>
    </w:p>
    <w:p>
      <w:r>
        <w:t>FR: ATF 95 I 283</w:t>
      </w:r>
    </w:p>
    <w:p>
      <w:r>
        <w:t>IT: DTF 95 I 283</w:t>
      </w:r>
    </w:p>
    <w:p>
      <w:pPr>
        <w:pStyle w:val="Heading2"/>
      </w:pPr>
      <w:r>
        <w:t>Regeste</w:t>
      </w:r>
    </w:p>
    <w:p>
      <w:r>
        <w:t>Regeste Haftpflicht des Bundes aus dem Telephonverkehr. 1. Zulässigkeit der verwaltungsrechtlichen Klage (Erw. 1). 2. Nach dem Telegraphen- und Telephonverkehrsgesetz vom 14. Oktober 1922 haftet die Eidgenossenschaft nicht für den Schaden, den ein Telephonabonnent deshalb erleidet, weil er auf den ihm zugeteilten Linien wegen eines technischen Hindernisses in der Telephonzentrale nur beschränkt erreichbar ist (Erw. 2). 3. Die Haftung des Bundes kann auch nicht aus dem Verantwortlichkeitsgesetz vom 14. März 1958 abgeleitet werden (Erw. 3). 4. Bedeutung des "Legalitätsprinzips" (Erw. 4). 5. Gegenüber dem fehlbaren Beamten steht dem Geschädigten kein Anspruch zu (Erw. 5).</w:t>
      </w:r>
    </w:p>
    <w:p>
      <w:pPr>
        <w:pStyle w:val="Heading2"/>
      </w:pPr>
      <w:r>
        <w:t>Erwägungen</w:t>
      </w:r>
    </w:p>
    <w:p>
      <w:r>
        <w:rPr>
          <w:b/>
        </w:rPr>
        <w:t>E. 1</w:t>
      </w:r>
    </w:p>
    <w:p>
      <w:r>
        <w:t>Die Klage wird in erster Linie auf das TVG gestützt. Die Klägerin macht demnach einen in der Bundesgesetzgebung begründeten Anspruch gegen den Bund aus öffentlichem Recht geltend. Der in Art. 3 Abs. 3 des PTT-Organisationsgesetzes vom 6. Oktober 1960 bezeichnete Streitwert von 8000 Franken ist überschritten. Entsprechend Art. 13 der Vollziehungsverordnung vom 26. Mai 1961 zu diesem Gesetz ist die Klage gegen die Schweizerische Eidgenossenschaft (PTT-Betriebe) gerichtet. Das Bundesgericht ist als einzige Instanz im Sinne des Art. 110 OG zur Beurteilung einer solchen aus dem TVG abgeleiteten Klage zuständig ( BGE 94 I 171 /172). In zweiter Linie wird die Klage auf das VG gestützt. Auch nach dieser Begründung ist das Bundesgericht als einzige Instanz gemäss Art. 110 OG zuständig ( Art. 10 Abs. 1 VG ). Die Klägerin hat den aus dem VG abgeleiteten Anspruch vorschriftsgemäss zunächst der Verwaltung und sodann rechtzeitig dem Bundesgericht unterbreitet ( Art. 10 Abs. 2, Art. 20 VG ).</w:t>
      </w:r>
    </w:p>
    <w:p>
      <w:r>
        <w:rPr>
          <w:b/>
        </w:rPr>
        <w:t>E. 2</w:t>
      </w:r>
    </w:p>
    <w:p>
      <w:r>
        <w:t>Das TVG ordnet in seinem Abschnitt IV (Art. 35-37) die Haftpflicht der PTT-Betriebe aus dem Telegraphen- und Telephonverkehr. Art. 35 enthält allgemeine Bestimmungen, Art. 36 betrifft den Telegraphenverkehr und Art. 37 den Telephonverkehr. Im vorliegenden Fall kommen nur die Art. 35 und 37 in Betracht. Durch Art. 35 Abs. 1 wird die Haftpflicht der Verwaltung "auf den in diesem Gesetz umschriebenen Umfang beschränkt". Nach Art. 37 Abs. 1 haften die PTT-Betriebe "nicht für die Folgen von Störungen und Hindernissen im Telephonbetrieb". In BGE 94 I 173 (oben) hat das Bundesgericht angenommen, das Wort "Telephonverkehr" in Art. 35 Abs. 1 bezeichne einen weiteren Begriff als das Wort BGE 95 I 283 S. 287 "Telephonbetrieb" in Art. 37 Abs. 1. Dagegen liesse sich einwenden, dass auch im Randtitel des Art. 37 vom "Telephonverkehr" die Rede ist; es erscheint nicht als ausgeschlossen, dass der im Absatz 1 dieses Artikels verwendete Ausdruck "Telephonbetrieb" dasselbe bedeutet wie das im Randtitel stehende Wort. Doch kann dies dahingestellt bleiben. Denn auch wenn man mit der Klägerin annimmt, der Ausdruck "Telephonbetrieb" in Art. 37 Abs. 1 TVG habe einen engeren Sinn und bedeute dasselbe, was Art. 1 Abs. 2 der Vollziehungsverordnung I zum TVG vom 1. Juni 1942 als "Betreiben" bezeichnet, so folgt daraus nichts zu ihren Gunsten. Unter dem "Betrieb" ist dann der "Gebrauch" der Anlage "zum Senden oder Empfangen von Zeichen, Bildern oder Lauten" zu verstehen. Auch wenn von diesem Begriff auszugehen ist, war das, was sich bei der Klägerin am 14. August 1967 gezeigt hat, eine Störung im Sinne des Art. 37 Abs. 1 TVG . Es trifft nämlich nicht zu, dass die neue Anlage damals überhaupt nicht in Betrieb genommen werden konnte. Sie konnte vom Personal der Klägerin für ausgehende Gespräche in vollem Umfang benützt werden. Sie konnte aber auch für eingehende Gespräche benützt werden. Wie die Klägerin in der Replik selber darlegt, war die Linie 91 19 20 am 14. August 1967 "für die eingehenden Gespräche praktisch ständig besetzt". Die Störung bestand darin, dass Anrufer, welche die Klägerin über die Nummer 91 19 20 erreichen wollten, das Besetzt-Zeichen vernahmen, wenn auf dieser Linie bereits ein Gespräch geführt wurde, statt dass sie automatisch auf eine der übrigen Linien geschaltet worden wären. Es handelt sich um eine Störung im Telephonbetrieb, die auf ein technisches Hindernis in der Anlage der PTT zurückzuführen war. Das Hindernis bewirkte, dass für die eingehenden Gespräche nur eine einzige Linie funktionierte, während für die ausgehenden Gespräche 14 weitere Linien benützbar waren. Das ist aber ein Sachverhalt, für dessen Folgen die PTT-Betriebe nach Art. 37 Abs. 1 TVG - auch bei enger Auslegung des Ausdrucks "Telephonbetrieb" - nicht haften.</w:t>
      </w:r>
    </w:p>
    <w:p>
      <w:r>
        <w:rPr>
          <w:b/>
        </w:rPr>
        <w:t>E. 3</w:t>
      </w:r>
    </w:p>
    <w:p>
      <w:r>
        <w:t>Allerdings unterliegt keinem Zweifel, dass für die Betriebsstörung das Personal der PTT-Betriebe verantwortlich ist. Die zuständigen Beamten waren nach der gesetzlichen Ordnung verpflichtet, der Klägerin eine für die ein- und ausgehenden Gespräche gleichermassen brauchbare Linien- und BGE 95 I 283 S. 288 Nummernreihe zuzuteilen. Sie hätten die Zuteilung so vornehmen müssen, dass die technische Besonderheit der Telephonzentrale Kilchberg sich nicht zum Nachteil der Klägerin ausgewirkt hätte. Wenn sie dies getan hätten, wäre die Betriebsstörung vermieden worden. Enthielte das TVG keine Bestimmungen über die Haftpflicht der Verwaltung, so würde daher der Bund laut Art. 3 Abs. 1 VG für die Folgen des von den PTT-Beamten begangenen Fehlers haften. Nun bestimmt aber Art. 3 Abs. 2 VG , dass "bei Tatbeständen, welche unter die Haftpflichtbestimmungen anderer Erlasse fallen, die Haftung des Bundes sich nach jenen besonderen Bestimmungen richtet". Das bedeutet, dass das VG in allen Bereichen nicht anwendbar ist, für welche das übrige Bundesrecht eine Haftung des Bundes vorsieht oder ausschliesst (StenBull StR 1956 S. 325; BGE 94 I 172 Erw. 3). Da der vorliegende Tatbestand unter die Haftpflichtbestimmungen des TVG fällt, lässt sich der Anspruch der Klägerin auch nicht auf das VG stützen.</w:t>
      </w:r>
    </w:p>
    <w:p>
      <w:r>
        <w:rPr>
          <w:b/>
        </w:rPr>
        <w:t>E. 4</w:t>
      </w:r>
    </w:p>
    <w:p>
      <w:r>
        <w:t>Der Klägerin hilft auch der Einwand nicht, dass das "missverstandene Legalitätsprinzip" mit einer "modernen rechtsstaatlichen Auffassung" nicht vereinbar sei. Das Legalitätsprinzip besagt, dass der Staat für Schaden, den seine Beamten einem Bürger rechtswidrig zufügen, nur einzustehen hat, wenn ein Rechtssatz dies ausdrücklich vorsieht ( BGE 63 II 30 /31, BGE 68 II 217 /218, BGE 77 I 95 ; dazu O. K. KAUFMANN, Verhandlungen des Schweizerischen Juristenvereins 1953, ZSR 72 S. 352 a ff., und P. GRAFF, daselbst S. 465 a, ferner O. K. KAUFMANN in "Haftung des Staates für rechtswidriges Verhalten seiner Organe", 1967, S. 559). Hier geht es nicht um dieses Prinzip, sondern darum, ob eine Haftung des Staates für eine rechtswidrige Schädigung eines Privaten durch Beamte bestehe, obwohl zwei verfassungsmässig zustande gekommene Bundesgesetze sie ausdrücklich aus schliessen. Diese Frage stellen heisst sie verneinen. Nach Art. 113 Abs. 3 und Art. 114 bis Abs. 3 BV ist das Bundesgericht an die Bundesgesetze gebunden.</w:t>
      </w:r>
    </w:p>
    <w:p>
      <w:r>
        <w:rPr>
          <w:b/>
        </w:rPr>
        <w:t>E. 5</w:t>
      </w:r>
    </w:p>
    <w:p>
      <w:r>
        <w:t>Richtig ist, dass die Klägerin als Geschädigte unter der Herrschaft des VG schlechter gestellt ist, als sie es unter der Geltung des BG vom 9. Dezember 1850 über die Verantwortlichkeit der eidgenössischen Behörden und Beamten gewesen wäre. Damals hätte sie von den fehlbaren Beamten Schadenersatz fordern können. Nach Art. 3 Abs. 3 VG ist das nunmehr ausgeschlossen. BGE 95 I 283 S. 289 Dies zu ändern kann nicht Aufgabe des Richters sein.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